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5BD9A1" w14:textId="77777777" w:rsidR="00972CFE" w:rsidRDefault="00000000">
      <w:pPr>
        <w:pStyle w:val="Heading1"/>
      </w:pPr>
      <w:bookmarkStart w:id="0" w:name="X5402862c7b6382451d5939fd06a9d95408b7c3f"/>
      <w:r>
        <w:t>Quantifying Multi-Signal Quorum Sensing Defines the Mapping from Environment to Bacterial Regulatory Responses</w:t>
      </w:r>
    </w:p>
    <w:p w14:paraId="46B8A9B7" w14:textId="77777777" w:rsidR="00972CFE"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35539C1C" w14:textId="77777777" w:rsidR="00972CFE" w:rsidRDefault="00000000">
      <w:pPr>
        <w:pStyle w:val="Compact"/>
        <w:numPr>
          <w:ilvl w:val="0"/>
          <w:numId w:val="3"/>
        </w:numPr>
      </w:pPr>
      <w:r>
        <w:t>School of Biological Sciences, Georgia Institute of Technology, Atlanta, GA USA 30332.</w:t>
      </w:r>
    </w:p>
    <w:p w14:paraId="6398B4B6" w14:textId="77777777" w:rsidR="00972CFE" w:rsidRDefault="00000000">
      <w:pPr>
        <w:pStyle w:val="Compact"/>
        <w:numPr>
          <w:ilvl w:val="0"/>
          <w:numId w:val="3"/>
        </w:numPr>
      </w:pPr>
      <w:r>
        <w:t>Department of Microbiology, Faculty of Agriculture, Cairo University, Giza 12613, Egypt.</w:t>
      </w:r>
    </w:p>
    <w:p w14:paraId="7459A273" w14:textId="77777777" w:rsidR="00972CFE" w:rsidRDefault="00000000">
      <w:pPr>
        <w:pStyle w:val="Compact"/>
        <w:numPr>
          <w:ilvl w:val="0"/>
          <w:numId w:val="3"/>
        </w:numPr>
      </w:pPr>
      <w:r>
        <w:t>Department of Biology, College of Arts and Sciences, Georgia State University, Atlanta, GA USA 30303.</w:t>
      </w:r>
    </w:p>
    <w:p w14:paraId="2DBA0B0B" w14:textId="77777777" w:rsidR="00972CFE" w:rsidRDefault="00000000">
      <w:pPr>
        <w:pStyle w:val="Compact"/>
        <w:numPr>
          <w:ilvl w:val="0"/>
          <w:numId w:val="3"/>
        </w:numPr>
      </w:pPr>
      <w:r>
        <w:t>Present address: Sandia National Laboratories, Albuquerque, NM, USA.</w:t>
      </w:r>
    </w:p>
    <w:p w14:paraId="554662D0" w14:textId="77777777" w:rsidR="00972CFE"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wildtype bacterial stationary phase density, and find close quantitative agreement with an independent dataset. Finally, we use our parameterized </w:t>
      </w:r>
      <w:r>
        <w:lastRenderedPageBreak/>
        <w:t>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14:paraId="084999C9" w14:textId="77777777" w:rsidR="00972CFE" w:rsidRDefault="00000000">
      <w:pPr>
        <w:pStyle w:val="Heading3"/>
      </w:pPr>
      <w:bookmarkStart w:id="1" w:name="significance-statement"/>
      <w:r>
        <w:t>Significance Statement</w:t>
      </w:r>
    </w:p>
    <w:p w14:paraId="0A9D6DCB" w14:textId="77777777" w:rsidR="00972CFE"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5489B9F2" w14:textId="77777777" w:rsidR="00972CFE" w:rsidRDefault="00000000">
      <w:pPr>
        <w:pStyle w:val="Heading2"/>
      </w:pPr>
      <w:bookmarkStart w:id="2" w:name="introduction"/>
      <w:bookmarkEnd w:id="1"/>
      <w:r>
        <w:t>Introduction</w:t>
      </w:r>
    </w:p>
    <w:p w14:paraId="42AF5168" w14:textId="77777777" w:rsidR="00972CFE"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w:t>
      </w:r>
      <w:r>
        <w:lastRenderedPageBreak/>
        <w:t>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5AD2CA1D" w14:textId="77777777" w:rsidR="00972CFE"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63A09160" w14:textId="77777777" w:rsidR="00972CFE"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one system’s synthase or receptor respond to the concentration of another systems signal? We classify possible multi-</w:t>
      </w:r>
      <w:r>
        <w:lastRenderedPageBreak/>
        <w:t xml:space="preserve">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make any assumptions concerning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 and focus on </w:t>
      </w:r>
      <w:r>
        <w:rPr>
          <w:i/>
          <w:iCs/>
        </w:rPr>
        <w:t>quantifying</w:t>
      </w:r>
      <w:r>
        <w:t xml:space="preserve"> the degree of influence, regardless of mechanistic pathway.</w:t>
      </w:r>
    </w:p>
    <w:p w14:paraId="21F5FDB9" w14:textId="77777777" w:rsidR="00972CFE" w:rsidRDefault="00000000">
      <w:pPr>
        <w:pStyle w:val="CaptionedFigure"/>
      </w:pPr>
      <w:bookmarkStart w:id="3" w:name="fig:architectures"/>
      <w:r>
        <w:rPr>
          <w:noProof/>
        </w:rPr>
        <w:drawing>
          <wp:inline distT="0" distB="0" distL="0" distR="0" wp14:anchorId="0E2D526B" wp14:editId="7BBF8405">
            <wp:extent cx="5238750" cy="3810000"/>
            <wp:effectExtent l="0" t="0" r="0" b="0"/>
            <wp:docPr id="11" name="Picture" descr="Figure 1: architectures"/>
            <wp:cNvGraphicFramePr/>
            <a:graphic xmlns:a="http://schemas.openxmlformats.org/drawingml/2006/main">
              <a:graphicData uri="http://schemas.openxmlformats.org/drawingml/2006/picture">
                <pic:pic xmlns:pic="http://schemas.openxmlformats.org/drawingml/2006/picture">
                  <pic:nvPicPr>
                    <pic:cNvPr id="12"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14:paraId="036E995E" w14:textId="77777777" w:rsidR="00972CFE"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w:t>
      </w:r>
      <w:r>
        <w:lastRenderedPageBreak/>
        <w:t xml:space="preserve">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44FE6A50" w14:textId="77777777" w:rsidR="00972CFE"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in the review literature, experimental studies have flagged limitations in the hierarchical model. For example, several studies demonstrate that the </w:t>
      </w:r>
      <w:r>
        <w:rPr>
          <w:i/>
          <w:iCs/>
        </w:rPr>
        <w:t>rhl</w:t>
      </w:r>
      <w:r>
        <w:t xml:space="preserve"> system can self-activate and drive expression of QS-controlled virulence factors, even when the “top of the hierarchy” </w:t>
      </w:r>
      <w:r>
        <w:rPr>
          <w:i/>
          <w:iCs/>
        </w:rPr>
        <w:t>lasR</w:t>
      </w:r>
      <w:r>
        <w:t xml:space="preserve"> gene is experimentally deleted (15) or functionally compromised during experimental or clinical evolution (16). These results indicate a potential genetic transition to an independent signal architecture (Figure 1A) with one functional signal system (</w:t>
      </w:r>
      <w:r>
        <w:rPr>
          <w:i/>
          <w:iCs/>
        </w:rPr>
        <w:t>rhl</w:t>
      </w:r>
      <w:r>
        <w:t xml:space="preserve">) and raise the broader question of how changes in multi-signal wiring impact QS functionality. We approach this question by using experimental data from the model </w:t>
      </w:r>
      <w:r>
        <w:rPr>
          <w:i/>
          <w:iCs/>
        </w:rPr>
        <w:t>P. aeruginosa</w:t>
      </w:r>
      <w:r>
        <w:t xml:space="preserve"> strain PAO1 to test all three wiring models in Figure 1A-C. If </w:t>
      </w:r>
      <w:r>
        <w:rPr>
          <w:i/>
          <w:iCs/>
        </w:rPr>
        <w:t>lasI</w:t>
      </w:r>
      <w:r>
        <w:t xml:space="preserve"> or </w:t>
      </w:r>
      <w:r>
        <w:rPr>
          <w:i/>
          <w:iCs/>
        </w:rPr>
        <w:t>lasR</w:t>
      </w:r>
      <w:r>
        <w:t xml:space="preserve"> respond to the </w:t>
      </w:r>
      <w:r>
        <w:rPr>
          <w:i/>
          <w:iCs/>
        </w:rPr>
        <w:t>rhl</w:t>
      </w:r>
      <w:r>
        <w:t xml:space="preserve"> signal, then the strict hierarchical view is potentially missing an important factor affecting the overall system response, a factor potentially captured by a reciprocal wiring diagram (Figure 1C).</w:t>
      </w:r>
    </w:p>
    <w:p w14:paraId="6F415D9F" w14:textId="77777777" w:rsidR="00972CFE" w:rsidRDefault="00000000">
      <w:pPr>
        <w:pStyle w:val="BodyText"/>
      </w:pPr>
      <w:r>
        <w:lastRenderedPageBreak/>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14:paraId="39B17F71" w14:textId="77777777" w:rsidR="00972CFE" w:rsidRDefault="00000000">
      <w:pPr>
        <w:pStyle w:val="Heading2"/>
      </w:pPr>
      <w:bookmarkStart w:id="4" w:name="results"/>
      <w:bookmarkEnd w:id="2"/>
      <w:r>
        <w:t>Results</w:t>
      </w:r>
    </w:p>
    <w:p w14:paraId="6972F46E" w14:textId="77777777" w:rsidR="00972CFE" w:rsidRDefault="00000000">
      <w:pPr>
        <w:pStyle w:val="FirstParagraph"/>
      </w:pPr>
      <w:r>
        <w:t xml:space="preserve">To uncover interactions between the </w:t>
      </w:r>
      <w:r>
        <w:rPr>
          <w:i/>
          <w:iCs/>
        </w:rPr>
        <w:t>las</w:t>
      </w:r>
      <w:r>
        <w:t xml:space="preserve"> and </w:t>
      </w:r>
      <w:r>
        <w:rPr>
          <w:i/>
          <w:iCs/>
        </w:rPr>
        <w:t>rhl</w:t>
      </w:r>
      <w:r>
        <w:t xml:space="preserve"> systems, we begin by experimentally assessing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transcriptional fusion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 In a final experimental step, we test our predicted QS responses to differing bacterial densities in a strain with intact regulatory feedbacks governing endogenous signal production.</w:t>
      </w:r>
    </w:p>
    <w:p w14:paraId="7A180CC1" w14:textId="77777777" w:rsidR="00972CFE"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14:paraId="07AE3E6E" w14:textId="77777777" w:rsidR="00972CFE"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We chose signal concentrations to reflect experimentally observed concentrations typically ranging from 0.1 to 5 μM (17).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429DAE3E" w14:textId="77777777" w:rsidR="00972CFE" w:rsidRDefault="00000000">
      <w:pPr>
        <w:pStyle w:val="CaptionedFigure"/>
      </w:pPr>
      <w:bookmarkStart w:id="6" w:name="fig:observations"/>
      <w:r>
        <w:rPr>
          <w:noProof/>
        </w:rPr>
        <w:drawing>
          <wp:inline distT="0" distB="0" distL="0" distR="0" wp14:anchorId="7D38BA02" wp14:editId="0444EB39">
            <wp:extent cx="5238750" cy="2876550"/>
            <wp:effectExtent l="0" t="0" r="0" b="0"/>
            <wp:docPr id="17" name="Picture" descr="Figure 2: observations"/>
            <wp:cNvGraphicFramePr/>
            <a:graphic xmlns:a="http://schemas.openxmlformats.org/drawingml/2006/main">
              <a:graphicData uri="http://schemas.openxmlformats.org/drawingml/2006/picture">
                <pic:pic xmlns:pic="http://schemas.openxmlformats.org/drawingml/2006/picture">
                  <pic:nvPicPr>
                    <pic:cNvPr id="18"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2876550"/>
                    </a:xfrm>
                    <a:prstGeom prst="rect">
                      <a:avLst/>
                    </a:prstGeom>
                    <a:noFill/>
                    <a:ln w="9525">
                      <a:noFill/>
                      <a:headEnd/>
                      <a:tailEnd/>
                    </a:ln>
                  </pic:spPr>
                </pic:pic>
              </a:graphicData>
            </a:graphic>
          </wp:inline>
        </w:drawing>
      </w:r>
    </w:p>
    <w:bookmarkEnd w:id="6"/>
    <w:p w14:paraId="46C3FC4F" w14:textId="77777777" w:rsidR="00972CFE"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(C).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w:t>
      </w:r>
      <w:r>
        <w:lastRenderedPageBreak/>
        <w:t>the time window of peak expression; lines show predictions from the Michaelis-Menten model of Equation S.1 parameterized according to Table S.3. Figures S.1 and S.2 show the underlying expression data for the entire time course of the experiments. Additional observations at lower signal concentrations were used to validate the model parameters and showed strong agreement (R</w:t>
      </w:r>
      <w:r>
        <w:rPr>
          <w:vertAlign w:val="superscript"/>
        </w:rPr>
        <w:t>2</w:t>
      </w:r>
      <w:r>
        <w:t xml:space="preserve"> = 0.82) as detailed in Figure S.4.</w:t>
      </w:r>
    </w:p>
    <w:p w14:paraId="67B33352" w14:textId="77777777" w:rsidR="00972CFE"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60C4BBB6" w14:textId="77777777" w:rsidR="00972CFE" w:rsidRDefault="00000000">
      <w:pPr>
        <w:pStyle w:val="BodyText"/>
      </w:pPr>
      <w:r>
        <w:t xml:space="preserve">To quantify the impact of each signal alone, we model gene expression using Michaelis-Menten kinetics under quasi-steady state assumptions (Methods), allowing us to estimate both the maximal fold-change under signal activation and sensitivity to signal (Table S.3). Our model fits (Figures 2A,B,D,E,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766216AC" w14:textId="77777777" w:rsidR="00972CFE" w:rsidRDefault="00000000">
      <w:pPr>
        <w:pStyle w:val="BodyText"/>
      </w:pPr>
      <w:r>
        <w:t xml:space="preserve">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w:t>
      </w:r>
      <w:r>
        <w:lastRenderedPageBreak/>
        <w:t>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2C0CB15B" w14:textId="77777777" w:rsidR="00972CFE"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7DFCC70C" w14:textId="77777777" w:rsidR="00972CFE"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(18),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w:t>
      </w:r>
    </w:p>
    <w:p w14:paraId="656D1324" w14:textId="77777777" w:rsidR="00972CFE" w:rsidRDefault="00000000">
      <w:pPr>
        <w:pStyle w:val="CaptionedFigure"/>
      </w:pPr>
      <w:bookmarkStart w:id="8" w:name="fig:reciprocal"/>
      <w:r>
        <w:rPr>
          <w:noProof/>
        </w:rPr>
        <w:drawing>
          <wp:inline distT="0" distB="0" distL="0" distR="0" wp14:anchorId="63008CFF" wp14:editId="272E01AF">
            <wp:extent cx="5238750" cy="2943225"/>
            <wp:effectExtent l="0" t="0" r="0" b="0"/>
            <wp:docPr id="23" name="Picture" descr="Figure 3: reciprocal"/>
            <wp:cNvGraphicFramePr/>
            <a:graphic xmlns:a="http://schemas.openxmlformats.org/drawingml/2006/main">
              <a:graphicData uri="http://schemas.openxmlformats.org/drawingml/2006/picture">
                <pic:pic xmlns:pic="http://schemas.openxmlformats.org/drawingml/2006/picture">
                  <pic:nvPicPr>
                    <pic:cNvPr id="24"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2943225"/>
                    </a:xfrm>
                    <a:prstGeom prst="rect">
                      <a:avLst/>
                    </a:prstGeom>
                    <a:noFill/>
                    <a:ln w="9525">
                      <a:noFill/>
                      <a:headEnd/>
                      <a:tailEnd/>
                    </a:ln>
                  </pic:spPr>
                </pic:pic>
              </a:graphicData>
            </a:graphic>
          </wp:inline>
        </w:drawing>
      </w:r>
    </w:p>
    <w:bookmarkEnd w:id="8"/>
    <w:p w14:paraId="7D16F562" w14:textId="77777777" w:rsidR="00972CFE"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the summed effects of single signals (3‑oxo‑C</w:t>
      </w:r>
      <w:r>
        <w:rPr>
          <w:vertAlign w:val="subscript"/>
        </w:rPr>
        <w:t>12</w:t>
      </w:r>
      <w:r>
        <w:t>‑HSL alone, red; C</w:t>
      </w:r>
      <w:r>
        <w:rPr>
          <w:vertAlign w:val="subscript"/>
        </w:rPr>
        <w:t>4</w:t>
      </w:r>
      <w:r>
        <w:t xml:space="preserve">‑HSL alone, orange) cannot account for the maximal expression of </w:t>
      </w:r>
      <w:r>
        <w:rPr>
          <w:i/>
          <w:iCs/>
        </w:rPr>
        <w:t>lasI</w:t>
      </w:r>
      <w:r>
        <w:t xml:space="preserve"> or </w:t>
      </w:r>
      <w:r>
        <w:rPr>
          <w:i/>
          <w:iCs/>
        </w:rPr>
        <w:t>rhlI.</w:t>
      </w:r>
      <w:r>
        <w:t xml:space="preserve"> The upper green, flat surfaces in the plots indicate the maximum mean expression level measured across all combinations of signal concentrations while the lower semi-transparent surfaces mark the sum of single signal effects. The plotted points represent observed expression </w:t>
      </w:r>
      <w:r>
        <w:lastRenderedPageBreak/>
        <w:t>levels when C</w:t>
      </w:r>
      <w:r>
        <w:rPr>
          <w:vertAlign w:val="subscript"/>
        </w:rPr>
        <w:t>4</w:t>
      </w:r>
      <w:r>
        <w:t>‑HSL is withheld (red) and when 3‑oxo‑C</w:t>
      </w:r>
      <w:r>
        <w:rPr>
          <w:vertAlign w:val="subscript"/>
        </w:rPr>
        <w:t>12</w:t>
      </w:r>
      <w:r>
        <w:t>‑HSL is withheld (yellow). Lines indicate the model predictions (Equation S.1, parameters in Table S.3). (C,D) Multi-signal non-linear models capture the synergistic effects of both signals and match observed expression levels. Model estimates are shown as grid lines. Horizontal bars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S.5 and S.6 present more detailed comparisons between model and observations. (E) The multi-signal model can be represented schematically with arrows indicating the relevant influence on expression levels. Arrow thickness is proportional to maximum fold-change contribution, and beaker height is proportional to the half concentration values (on a logarithmic scale) for each signal.</w:t>
      </w:r>
    </w:p>
    <w:p w14:paraId="74D0B572" w14:textId="77777777" w:rsidR="00972CFE"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(19).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44F9F9C8" w14:textId="02EC4501" w:rsidR="00972CFE" w:rsidRDefault="004C1B6C">
      <w:pPr>
        <w:pStyle w:val="FirstParagraph"/>
      </w:pPr>
      <w:r>
        <w:rPr>
          <w:noProof/>
        </w:rPr>
        <w:drawing>
          <wp:inline distT="0" distB="0" distL="0" distR="0" wp14:anchorId="3D1FE3F2" wp14:editId="00C29FA0">
            <wp:extent cx="5943600" cy="3136900"/>
            <wp:effectExtent l="0" t="0" r="0" b="0"/>
            <wp:docPr id="107037770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7700" name="Graphic 1070377700"/>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136900"/>
                    </a:xfrm>
                    <a:prstGeom prst="rect">
                      <a:avLst/>
                    </a:prstGeom>
                  </pic:spPr>
                </pic:pic>
              </a:graphicData>
            </a:graphic>
          </wp:inline>
        </w:drawing>
      </w:r>
    </w:p>
    <w:p w14:paraId="44F055F5" w14:textId="77777777" w:rsidR="00972CFE" w:rsidRDefault="00000000">
      <w:pPr>
        <w:pStyle w:val="BodyText"/>
      </w:pPr>
      <w:r>
        <w:lastRenderedPageBreak/>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531E6BD9" w14:textId="77777777" w:rsidR="00972CFE"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511C477C" w14:textId="77777777" w:rsidR="00972CFE"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44EF5037" w14:textId="77777777" w:rsidR="00972CFE"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(20, 21) and cooperation (22–24).</w:t>
      </w:r>
    </w:p>
    <w:p w14:paraId="2BE52499" w14:textId="77777777" w:rsidR="00972CFE" w:rsidRDefault="00000000">
      <w:pPr>
        <w:pStyle w:val="BodyText"/>
      </w:pPr>
      <w:r>
        <w:t xml:space="preserve">The prior literature provides a clear expectation that </w:t>
      </w:r>
      <w:r>
        <w:rPr>
          <w:i/>
          <w:iCs/>
        </w:rPr>
        <w:t>lasB</w:t>
      </w:r>
      <w:r>
        <w:t xml:space="preserve"> expression will be positively influenced by both AHL signal molecules (3, 25),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w:t>
      </w:r>
      <w:r>
        <w:lastRenderedPageBreak/>
        <w:t xml:space="preserve">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w:t>
      </w:r>
      <w:r>
        <w:rPr>
          <w:i/>
          <w:iCs/>
        </w:rPr>
        <w:t>lasB</w:t>
      </w:r>
      <w:r>
        <w:t xml:space="preserve"> data (Table S.5) supports previous conclusions that 3‑oxo‑C</w:t>
      </w:r>
      <w:r>
        <w:rPr>
          <w:vertAlign w:val="subscript"/>
        </w:rPr>
        <w:t>12</w:t>
      </w:r>
      <w:r>
        <w:t>‑HSL has a stronger effect than C</w:t>
      </w:r>
      <w:r>
        <w:rPr>
          <w:vertAlign w:val="subscript"/>
        </w:rPr>
        <w:t>4</w:t>
      </w:r>
      <w:r>
        <w:t xml:space="preserve">‑HSL on </w:t>
      </w:r>
      <w:r>
        <w:rPr>
          <w:i/>
          <w:iCs/>
        </w:rPr>
        <w:t>lasB</w:t>
      </w:r>
      <w:r>
        <w:t xml:space="preserve"> expression (26, 27). Our results add that </w:t>
      </w:r>
      <w:r>
        <w:rPr>
          <w:i/>
          <w:iCs/>
        </w:rPr>
        <w:t>lasB</w:t>
      </w:r>
      <w:r>
        <w:t xml:space="preserve"> expression is dominated by the synergistic combination of both signals rather than either signal in isolation. We further note that </w:t>
      </w:r>
      <w:r>
        <w:rPr>
          <w:i/>
          <w:iCs/>
        </w:rPr>
        <w:t>lasB</w:t>
      </w:r>
      <w:r>
        <w:t xml:space="preserve"> expression is more sensitive to C</w:t>
      </w:r>
      <w:r>
        <w:rPr>
          <w:vertAlign w:val="subscript"/>
        </w:rPr>
        <w:t>4</w:t>
      </w:r>
      <w:r>
        <w:t>‑HSL alone than to 3‑oxo‑C</w:t>
      </w:r>
      <w:r>
        <w:rPr>
          <w:vertAlign w:val="subscript"/>
        </w:rPr>
        <w:t>12</w:t>
      </w:r>
      <w:r>
        <w:t>‑HSL alone. (Figure 4C); the maximum increase in expression in response to C</w:t>
      </w:r>
      <w:r>
        <w:rPr>
          <w:vertAlign w:val="subscript"/>
        </w:rPr>
        <w:t>4</w:t>
      </w:r>
      <w:r>
        <w:t>‑HSL is much less than to 3‑oxo‑C</w:t>
      </w:r>
      <w:r>
        <w:rPr>
          <w:vertAlign w:val="subscript"/>
        </w:rPr>
        <w:t>12</w:t>
      </w:r>
      <w:r>
        <w:t>‑HSL, but C</w:t>
      </w:r>
      <w:r>
        <w:rPr>
          <w:vertAlign w:val="subscript"/>
        </w:rPr>
        <w:t>4</w:t>
      </w:r>
      <w:r>
        <w:t>‑HSL requires a significantly lower concentration to achieve that maximum increase (Table S.5).</w:t>
      </w:r>
    </w:p>
    <w:p w14:paraId="10B9DA86" w14:textId="77777777" w:rsidR="00972CFE" w:rsidRDefault="00000000">
      <w:pPr>
        <w:pStyle w:val="CaptionedFigure"/>
      </w:pPr>
      <w:bookmarkStart w:id="10" w:name="fig:lasb"/>
      <w:r>
        <w:rPr>
          <w:noProof/>
        </w:rPr>
        <w:drawing>
          <wp:inline distT="0" distB="0" distL="0" distR="0" wp14:anchorId="2B035165" wp14:editId="395659B9">
            <wp:extent cx="3429000" cy="2371725"/>
            <wp:effectExtent l="0" t="0" r="0" b="0"/>
            <wp:docPr id="30" name="Picture" descr="Figure 4: lasb"/>
            <wp:cNvGraphicFramePr/>
            <a:graphic xmlns:a="http://schemas.openxmlformats.org/drawingml/2006/main">
              <a:graphicData uri="http://schemas.openxmlformats.org/drawingml/2006/picture">
                <pic:pic xmlns:pic="http://schemas.openxmlformats.org/drawingml/2006/picture">
                  <pic:nvPicPr>
                    <pic:cNvPr id="31"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429000" cy="2371725"/>
                    </a:xfrm>
                    <a:prstGeom prst="rect">
                      <a:avLst/>
                    </a:prstGeom>
                    <a:noFill/>
                    <a:ln w="9525">
                      <a:noFill/>
                      <a:headEnd/>
                      <a:tailEnd/>
                    </a:ln>
                  </pic:spPr>
                </pic:pic>
              </a:graphicData>
            </a:graphic>
          </wp:inline>
        </w:drawing>
      </w:r>
    </w:p>
    <w:bookmarkEnd w:id="10"/>
    <w:p w14:paraId="550799FB" w14:textId="77777777" w:rsidR="00972CFE"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Panel C summarizes qualitative differences in the relative effects of each signal on </w:t>
      </w:r>
      <w:r>
        <w:rPr>
          <w:i/>
          <w:iCs/>
        </w:rPr>
        <w:t>lasB</w:t>
      </w:r>
      <w:r>
        <w:t xml:space="preserve"> response compared to </w:t>
      </w:r>
      <w:r>
        <w:rPr>
          <w:i/>
          <w:iCs/>
        </w:rPr>
        <w:t>lasI</w:t>
      </w:r>
      <w:r>
        <w:t xml:space="preserve"> and </w:t>
      </w:r>
      <w:r>
        <w:rPr>
          <w:i/>
          <w:iCs/>
        </w:rPr>
        <w:t>rhlI.</w:t>
      </w:r>
      <w:r>
        <w:t xml:space="preserve"> Pie charts break down the contribution to maximum fold-change in expression levels. For both </w:t>
      </w:r>
      <w:r>
        <w:rPr>
          <w:i/>
          <w:iCs/>
        </w:rPr>
        <w:t>lasI</w:t>
      </w:r>
      <w:r>
        <w:t xml:space="preserve"> and </w:t>
      </w:r>
      <w:r>
        <w:rPr>
          <w:i/>
          <w:iCs/>
        </w:rPr>
        <w:t>rhlI,</w:t>
      </w:r>
      <w:r>
        <w:t xml:space="preserve"> 3‑oxo‑C</w:t>
      </w:r>
      <w:r>
        <w:rPr>
          <w:vertAlign w:val="subscript"/>
        </w:rPr>
        <w:t>12</w:t>
      </w:r>
      <w:r>
        <w:t xml:space="preserve">‑HSL alone is responsible for slightly more than half of their maximum expression, while for </w:t>
      </w:r>
      <w:r>
        <w:rPr>
          <w:i/>
          <w:iCs/>
        </w:rPr>
        <w:t>lasB</w:t>
      </w:r>
      <w:r>
        <w:t xml:space="preserve"> 3‑oxo‑C</w:t>
      </w:r>
      <w:r>
        <w:rPr>
          <w:vertAlign w:val="subscript"/>
        </w:rPr>
        <w:t>12</w:t>
      </w:r>
      <w:r>
        <w:t>‑HSL alone accounts for less than a quarter. The combined effect of both 3‑oxo‑C</w:t>
      </w:r>
      <w:r>
        <w:rPr>
          <w:vertAlign w:val="subscript"/>
        </w:rPr>
        <w:t>12</w:t>
      </w:r>
      <w:r>
        <w:t>‑HSL and C</w:t>
      </w:r>
      <w:r>
        <w:rPr>
          <w:vertAlign w:val="subscript"/>
        </w:rPr>
        <w:t>4</w:t>
      </w:r>
      <w:r>
        <w:t xml:space="preserve">‑HSL together dominates </w:t>
      </w:r>
      <w:r>
        <w:rPr>
          <w:i/>
          <w:iCs/>
        </w:rPr>
        <w:t>lasB</w:t>
      </w:r>
      <w:r>
        <w:t xml:space="preserve"> expression.The half concentration values also show a qualitative difference. While </w:t>
      </w:r>
      <w:r>
        <w:rPr>
          <w:i/>
          <w:iCs/>
        </w:rPr>
        <w:t>lasI</w:t>
      </w:r>
      <w:r>
        <w:t xml:space="preserve"> and </w:t>
      </w:r>
      <w:r>
        <w:rPr>
          <w:i/>
          <w:iCs/>
        </w:rPr>
        <w:t>rhl</w:t>
      </w:r>
      <w:r>
        <w:t xml:space="preserve"> are nearly equally sensitive to 3‑oxo‑C</w:t>
      </w:r>
      <w:r>
        <w:rPr>
          <w:vertAlign w:val="subscript"/>
        </w:rPr>
        <w:t>12</w:t>
      </w:r>
      <w:r>
        <w:t>‑HSL and C</w:t>
      </w:r>
      <w:r>
        <w:rPr>
          <w:vertAlign w:val="subscript"/>
        </w:rPr>
        <w:t>4</w:t>
      </w:r>
      <w:r>
        <w:t xml:space="preserve">‑HSL, </w:t>
      </w:r>
      <w:r>
        <w:rPr>
          <w:i/>
          <w:iCs/>
        </w:rPr>
        <w:t>lasB</w:t>
      </w:r>
      <w:r>
        <w:t xml:space="preserve"> is substantially more sensitive to C</w:t>
      </w:r>
      <w:r>
        <w:rPr>
          <w:vertAlign w:val="subscript"/>
        </w:rPr>
        <w:t>4</w:t>
      </w:r>
      <w:r>
        <w:t xml:space="preserve">‑HSL than to </w:t>
      </w:r>
      <w:r>
        <w:lastRenderedPageBreak/>
        <w:t>3‑oxo‑C</w:t>
      </w:r>
      <w:r>
        <w:rPr>
          <w:vertAlign w:val="subscript"/>
        </w:rPr>
        <w:t>12</w:t>
      </w:r>
      <w:r>
        <w:t>‑HSL. Figure S.3 shows underlying expression data for full time course of experiments; Table S.5 lists the parameter values, and Figure S.7 provides a detailed comparison of model predictions and observations.</w:t>
      </w:r>
    </w:p>
    <w:p w14:paraId="1FAB2247" w14:textId="77777777" w:rsidR="00972CFE" w:rsidRDefault="00000000">
      <w:pPr>
        <w:pStyle w:val="Heading3"/>
      </w:pPr>
      <w:bookmarkStart w:id="11" w:name="X24d781f5bba3336bd4542178f3d51c4401d74a6"/>
      <w:bookmarkEnd w:id="9"/>
      <w:r>
        <w:t>Mathematical Models Incorporating Multi-signal Interactions Predict Wildtype Quorum Sensing Response to Environmental Variation</w:t>
      </w:r>
    </w:p>
    <w:p w14:paraId="034ECD72" w14:textId="77777777" w:rsidR="00972CFE"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(28), diffusion (29), efficiency (30), containment (31), genotypes (23, 32), combinations (33), etc.)</w:t>
      </w:r>
    </w:p>
    <w:p w14:paraId="012C451E" w14:textId="77777777" w:rsidR="00972CFE" w:rsidRDefault="00000000">
      <w:pPr>
        <w:pStyle w:val="BodyText"/>
      </w:pPr>
      <w:r>
        <w:t>To connect our gene expression model to critical environmental dimensions of bacterial population density and mass transfer (e.g. diffusion or advective flow), we build on previous models of extracellular signal dynamics (33–37). While our earlier experimental and modeling analyses (Figures 2-4, Equation 1) treated signal concentration as an experimentally fixed exogenous factor, we now treat signal concentration as a dynamical variable that emerges from the interplay of regulatory feedbacks (both within- and among signal modules) and environmental conditions</w:t>
      </w:r>
    </w:p>
    <w:p w14:paraId="1A6433F2" w14:textId="77777777" w:rsidR="00972CFE" w:rsidRDefault="00000000">
      <w:pPr>
        <w:pStyle w:val="BodyText"/>
      </w:pPr>
      <w:r>
        <w:t xml:space="preserve">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7FB45C94" w14:textId="4978ABB5" w:rsidR="00972CFE" w:rsidRDefault="004C1B6C">
      <w:pPr>
        <w:pStyle w:val="FirstParagraph"/>
      </w:pPr>
      <w:r>
        <w:rPr>
          <w:noProof/>
        </w:rPr>
        <w:lastRenderedPageBreak/>
        <w:drawing>
          <wp:inline distT="0" distB="0" distL="0" distR="0" wp14:anchorId="35601E70" wp14:editId="7D2E7A73">
            <wp:extent cx="5943600" cy="3054350"/>
            <wp:effectExtent l="0" t="0" r="0" b="0"/>
            <wp:docPr id="458967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67750" name="Graphic 458967750"/>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054350"/>
                    </a:xfrm>
                    <a:prstGeom prst="rect">
                      <a:avLst/>
                    </a:prstGeom>
                  </pic:spPr>
                </pic:pic>
              </a:graphicData>
            </a:graphic>
          </wp:inline>
        </w:drawing>
      </w:r>
    </w:p>
    <w:p w14:paraId="45508A5D" w14:textId="77777777" w:rsidR="00972CFE"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3DD8F3B8" w14:textId="77777777" w:rsidR="00972CFE"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environmental signal values to QS-controlled effector behavior using our parameterized model of </w:t>
      </w:r>
      <w:r>
        <w:rPr>
          <w:i/>
          <w:iCs/>
        </w:rPr>
        <w:t>lasB</w:t>
      </w:r>
      <w:r>
        <w:t xml:space="preserve"> expression (Figure 4, Equation 1 as parameterized by Table S.5). Integrating these steps allows us to predict how </w:t>
      </w:r>
      <w:r>
        <w:rPr>
          <w:i/>
          <w:iCs/>
        </w:rPr>
        <w:t>lasB</w:t>
      </w:r>
      <w:r>
        <w:t xml:space="preserve"> expression varies in wildtype bacteria (with intact signal synthases) as the social (</w:t>
      </w:r>
      <w:r>
        <w:rPr>
          <w:i/>
          <w:iCs/>
        </w:rPr>
        <w:t>N</w:t>
      </w:r>
      <w:r>
        <w:t>) and physical (</w:t>
      </w:r>
      <w:r>
        <w:rPr>
          <w:i/>
          <w:iCs/>
        </w:rPr>
        <w:t>m</w:t>
      </w:r>
      <w:r>
        <w:t>) environment changes.</w:t>
      </w:r>
    </w:p>
    <w:p w14:paraId="470A9CD4" w14:textId="77777777" w:rsidR="00972CFE" w:rsidRDefault="00000000">
      <w:pPr>
        <w:pStyle w:val="BodyText"/>
      </w:pPr>
      <w:r>
        <w:lastRenderedPageBreak/>
        <w:t xml:space="preserve">In Figure 5A,B we illustrate our integrated model prediction of wildtype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wildtype </w:t>
      </w:r>
      <w:r>
        <w:rPr>
          <w:i/>
          <w:iCs/>
        </w:rPr>
        <w:t>lasB</w:t>
      </w:r>
      <w:r>
        <w:t xml:space="preserve"> expression as a function of stationary phase density (38).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(38):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7D2F59B0" w14:textId="77777777" w:rsidR="00972CFE" w:rsidRDefault="00000000">
      <w:pPr>
        <w:pStyle w:val="CaptionedFigure"/>
      </w:pPr>
      <w:bookmarkStart w:id="12" w:name="fig:environment"/>
      <w:r>
        <w:rPr>
          <w:noProof/>
        </w:rPr>
        <w:lastRenderedPageBreak/>
        <w:drawing>
          <wp:inline distT="0" distB="0" distL="0" distR="0" wp14:anchorId="40BCD35E" wp14:editId="270589BA">
            <wp:extent cx="5238750" cy="5238750"/>
            <wp:effectExtent l="0" t="0" r="0" b="0"/>
            <wp:docPr id="37" name="Picture" descr="Figure 5: environment"/>
            <wp:cNvGraphicFramePr/>
            <a:graphic xmlns:a="http://schemas.openxmlformats.org/drawingml/2006/main">
              <a:graphicData uri="http://schemas.openxmlformats.org/drawingml/2006/picture">
                <pic:pic xmlns:pic="http://schemas.openxmlformats.org/drawingml/2006/picture">
                  <pic:nvPicPr>
                    <pic:cNvPr id="38"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7514E82C" w14:textId="77777777" w:rsidR="00972CFE" w:rsidRDefault="00000000">
      <w:pPr>
        <w:pStyle w:val="Caption"/>
      </w:pPr>
      <w:r>
        <w:rPr>
          <w:b/>
          <w:bCs/>
        </w:rPr>
        <w:t xml:space="preserve">Figure 5. The models of Equations 1 and 2 in combination can quantitatively predict wildtype QS-controlled </w:t>
      </w:r>
      <w:r>
        <w:rPr>
          <w:b/>
          <w:bCs/>
          <w:i/>
          <w:iCs/>
        </w:rPr>
        <w:t>lasB</w:t>
      </w:r>
      <w:r>
        <w:rPr>
          <w:b/>
          <w:bCs/>
        </w:rPr>
        <w:t xml:space="preserve"> response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(39) of predicted </w:t>
      </w:r>
      <w:r>
        <w:rPr>
          <w:i/>
          <w:iCs/>
        </w:rPr>
        <w:t>lasB</w:t>
      </w:r>
      <w:r>
        <w:t xml:space="preserve"> expression level (solid line) as a function of population carrying capacity. The figure also shows independent experimental observations of wildtype </w:t>
      </w:r>
      <w:r>
        <w:rPr>
          <w:i/>
          <w:iCs/>
        </w:rPr>
        <w:t>lasB</w:t>
      </w:r>
      <w:r>
        <w:t xml:space="preserve"> expression as a function of bacterial carrying capacity, manipulated by varying the concentration of limiting carbon (38).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w:t>
      </w:r>
    </w:p>
    <w:p w14:paraId="3E1BD207" w14:textId="77777777" w:rsidR="00972CFE" w:rsidRDefault="00000000">
      <w:pPr>
        <w:pStyle w:val="Heading3"/>
      </w:pPr>
      <w:bookmarkStart w:id="13" w:name="Xa6938a39d0945a75713dd8913666836961d703b"/>
      <w:bookmarkEnd w:id="11"/>
      <w:r>
        <w:t>Multi-Signal Architectures Govern Functional Responses to Environmental Variation</w:t>
      </w:r>
    </w:p>
    <w:p w14:paraId="4C551B8D" w14:textId="77777777" w:rsidR="00972CFE" w:rsidRDefault="00000000">
      <w:pPr>
        <w:pStyle w:val="FirstParagraph"/>
      </w:pPr>
      <w:r>
        <w:t xml:space="preserve">Following an initial validation of our quantitative predictions linking environmental properties to wildtype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780ED539" w14:textId="77777777" w:rsidR="00972CFE"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6C16E636" w14:textId="77777777" w:rsidR="00972CFE"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w:t>
      </w:r>
      <w:r>
        <w:lastRenderedPageBreak/>
        <w:t xml:space="preserve">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458AA538" w14:textId="77777777" w:rsidR="00972CFE" w:rsidRDefault="00000000">
      <w:pPr>
        <w:pStyle w:val="Heading2"/>
      </w:pPr>
      <w:bookmarkStart w:id="14" w:name="discussion"/>
      <w:bookmarkEnd w:id="4"/>
      <w:bookmarkEnd w:id="13"/>
      <w:r>
        <w:t>Discussion</w:t>
      </w:r>
    </w:p>
    <w:p w14:paraId="72F13C11" w14:textId="77777777" w:rsidR="00972CFE" w:rsidRDefault="00000000">
      <w:pPr>
        <w:pStyle w:val="FirstParagraph"/>
      </w:pPr>
      <w:r>
        <w:t>As our knowledge of quorum sensing deepens across species, it is increasingly clear that the use of multiple QS signal molecules is the norm (e.g. </w:t>
      </w:r>
      <w:r>
        <w:rPr>
          <w:i/>
          <w:iCs/>
        </w:rPr>
        <w:t>E. coli</w:t>
      </w:r>
      <w:r>
        <w:t xml:space="preserve"> (40), </w:t>
      </w:r>
      <w:r>
        <w:rPr>
          <w:i/>
          <w:iCs/>
        </w:rPr>
        <w:t>B. subtilis</w:t>
      </w:r>
      <w:r>
        <w:t xml:space="preserve"> (41), </w:t>
      </w:r>
      <w:r>
        <w:rPr>
          <w:i/>
          <w:iCs/>
        </w:rPr>
        <w:t>P. polymyxa</w:t>
      </w:r>
      <w:r>
        <w:t xml:space="preserve"> (42), </w:t>
      </w:r>
      <w:r>
        <w:rPr>
          <w:i/>
          <w:iCs/>
        </w:rPr>
        <w:t>V. harveyi</w:t>
      </w:r>
      <w:r>
        <w:t xml:space="preserve"> (43, 44), and </w:t>
      </w:r>
      <w:r>
        <w:rPr>
          <w:i/>
          <w:iCs/>
        </w:rPr>
        <w:t>V. cholerae</w:t>
      </w:r>
      <w:r>
        <w:t xml:space="preserve"> (45); (46)). While this widespread design feature has been probed extensively on a molecular mechanistic scale to produce detailed intracellular “wiring diagrams” (1, 47). we still lack a general understanding of the dynamical capacities and functional sensing role(s) of these more complex architectures. Functional analyses in </w:t>
      </w:r>
      <w:r>
        <w:rPr>
          <w:i/>
          <w:iCs/>
        </w:rPr>
        <w:t xml:space="preserve">Vibrio </w:t>
      </w:r>
      <w:r>
        <w:rPr>
          <w:i/>
          <w:iCs/>
        </w:rPr>
        <w:lastRenderedPageBreak/>
        <w:t>harveyi</w:t>
      </w:r>
      <w:r>
        <w:t xml:space="preserve"> have documented how downstream behavioral responses to dual signal inputs follow a simple additive rule that potentially buffers against signal noise (44, 48, 48), but the extent to which signal modules directly impact each other has not been directly defined. In this study we use the model QS organism </w:t>
      </w:r>
      <w:r>
        <w:rPr>
          <w:i/>
          <w:iCs/>
        </w:rPr>
        <w:t>Pseudomonas aeruginosa</w:t>
      </w:r>
      <w:r>
        <w:t xml:space="preserve"> to quantify the dynamical interactions within and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2B9A5981" w14:textId="77777777" w:rsidR="00972CFE"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wildtype QS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5B6870F8" w14:textId="77777777" w:rsidR="00972CFE" w:rsidRDefault="00000000">
      <w:pPr>
        <w:pStyle w:val="BodyText"/>
      </w:pPr>
      <w:r>
        <w:t xml:space="preserve">Turning to the most common functional rationales for QS, our final parameterized model (Figure 5C-F) rejects both the pure “density sensing” (only responsive to density) and pure “diffusion sensing” (only responsive to mass transfer) limit cases, as responsiveness to a fixed density is dependent on the level of mass transfer, and vice-versa (30, 33, 49). While the reciprocal architecture allows greater robustness to increasing mass transfer </w:t>
      </w:r>
      <w:r>
        <w:rPr>
          <w:i/>
          <w:iCs/>
        </w:rPr>
        <w:t>m,</w:t>
      </w:r>
      <w:r>
        <w:t xml:space="preserve"> it is still the case that </w:t>
      </w:r>
      <w:r>
        <w:lastRenderedPageBreak/>
        <w:t xml:space="preserve">maximal </w:t>
      </w:r>
      <w:r>
        <w:rPr>
          <w:i/>
          <w:iCs/>
        </w:rPr>
        <w:t>lasB</w:t>
      </w:r>
      <w:r>
        <w:t xml:space="preserve"> expression is concentrated in conditions of high density and low mass transfer, consistent with previous models of “efficiency sensing” (30) and combinatorial quorum sensing (33).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(33), while our current analysis additionally supports specific predictions on auto-regulation rates (stronger rates of auto-regulation for the more fragile 3‑oxo‑C</w:t>
      </w:r>
      <w:r>
        <w:rPr>
          <w:vertAlign w:val="subscript"/>
        </w:rPr>
        <w:t>12</w:t>
      </w:r>
      <w:r>
        <w:t>‑HSL signal, Table S.4).</w:t>
      </w:r>
    </w:p>
    <w:p w14:paraId="50C2C265" w14:textId="77777777" w:rsidR="00972CFE" w:rsidRDefault="00000000">
      <w:pPr>
        <w:pStyle w:val="BodyText"/>
      </w:pPr>
      <w:r>
        <w:t xml:space="preserve">Prior analyses of the combinatorial QS model (33) assumed independent signal activation and a simple threshold activation model for each signal, assumptions that are rejected by the results of the current study. To further assess the combinatorial QS model in light of our new model and data, we repeat our “counter-factual” exercise to explore distinct multi-signal wirings (Figure 5F-H), but now applied to signal concentrations as a function of environmental conditions instead of </w:t>
      </w:r>
      <w:r>
        <w:rPr>
          <w:i/>
          <w:iCs/>
        </w:rPr>
        <w:t>lasB</w:t>
      </w:r>
      <w:r>
        <w:t xml:space="preserve"> expression. Our analyses (Figure S.10) illustrate that the prediction of differential signal responses to changing environmental parameters is substantial given the independent architecture (different contour slopes in Figure S.10C,F), but is attenuated given the reciprocal architecture (Figure S.10A,D).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w:t>
      </w:r>
      <w:r>
        <w:lastRenderedPageBreak/>
        <w:t>ratio of signals still changes substantially (two-fold) across the (</w:t>
      </w:r>
      <w:r>
        <w:rPr>
          <w:i/>
          <w:iCs/>
        </w:rPr>
        <w:t>m, N</w:t>
      </w:r>
      <w:r>
        <w:t>) parameter space examined, therefore maintaining an encoding of environmental conditions in the distribution of signals.</w:t>
      </w:r>
    </w:p>
    <w:p w14:paraId="5AA87089" w14:textId="77777777" w:rsidR="00972CFE"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4C highlight a clear difference between the response of </w:t>
      </w:r>
      <w:r>
        <w:rPr>
          <w:i/>
          <w:iCs/>
        </w:rPr>
        <w:t>lasB</w:t>
      </w:r>
      <w:r>
        <w:t xml:space="preserve"> and that of </w:t>
      </w:r>
      <w:r>
        <w:rPr>
          <w:i/>
          <w:iCs/>
        </w:rPr>
        <w:t>lasI</w:t>
      </w:r>
      <w:r>
        <w:t xml:space="preserve"> or </w:t>
      </w:r>
      <w:r>
        <w:rPr>
          <w:i/>
          <w:iCs/>
        </w:rPr>
        <w:t>rhlI.</w:t>
      </w:r>
      <w:r>
        <w:t xml:space="preserve"> Specifically, while all three genes require both signals for maximal expression, the contribution of C</w:t>
      </w:r>
      <w:r>
        <w:rPr>
          <w:vertAlign w:val="subscript"/>
        </w:rPr>
        <w:t>4</w:t>
      </w:r>
      <w:r>
        <w:t xml:space="preserve">‑HSL </w:t>
      </w:r>
      <w:r>
        <w:rPr>
          <w:i/>
          <w:iCs/>
        </w:rPr>
        <w:t>alone</w:t>
      </w:r>
      <w:r>
        <w:t xml:space="preserve"> to the expression of </w:t>
      </w:r>
      <w:r>
        <w:rPr>
          <w:i/>
          <w:iCs/>
        </w:rPr>
        <w:t>lasB</w:t>
      </w:r>
      <w:r>
        <w:t xml:space="preserve"> is negligible compared to </w:t>
      </w:r>
      <w:r>
        <w:rPr>
          <w:i/>
          <w:iCs/>
        </w:rPr>
        <w:t>lasI</w:t>
      </w:r>
      <w:r>
        <w:t xml:space="preserve"> or </w:t>
      </w:r>
      <w:r>
        <w:rPr>
          <w:i/>
          <w:iCs/>
        </w:rPr>
        <w:t>rhlI.</w:t>
      </w:r>
      <w:r>
        <w:t xml:space="preserve"> Maximum expression of </w:t>
      </w:r>
      <w:r>
        <w:rPr>
          <w:i/>
          <w:iCs/>
        </w:rPr>
        <w:t>lasB</w:t>
      </w:r>
      <w:r>
        <w:t xml:space="preserve"> only increases by a factor of 1.1 (Table S.5) with the addition of C</w:t>
      </w:r>
      <w:r>
        <w:rPr>
          <w:vertAlign w:val="subscript"/>
        </w:rPr>
        <w:t>4</w:t>
      </w:r>
      <w:r>
        <w:t xml:space="preserve">‑HSL alone, in contrast to the six-fold increases for both </w:t>
      </w:r>
      <w:r>
        <w:rPr>
          <w:i/>
          <w:iCs/>
        </w:rPr>
        <w:t>lasI</w:t>
      </w:r>
      <w:r>
        <w:t xml:space="preserve"> and </w:t>
      </w:r>
      <w:r>
        <w:rPr>
          <w:i/>
          <w:iCs/>
        </w:rPr>
        <w:t>rhlI</w:t>
      </w:r>
      <w:r>
        <w:t xml:space="preserve"> (Table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(50),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(19) models of gene expression as a function of multiple inputs. Neither can fully explain our results. Sauer et al. (51)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into the mechanisms of </w:t>
      </w:r>
      <w:r>
        <w:rPr>
          <w:i/>
          <w:iCs/>
        </w:rPr>
        <w:t>P. aeruginosa</w:t>
      </w:r>
      <w:r>
        <w:t xml:space="preserve"> quorum sensing interactions can provide insights into more general gene regulatory network models.</w:t>
      </w:r>
    </w:p>
    <w:p w14:paraId="0AF21B6D" w14:textId="77777777" w:rsidR="00972CFE" w:rsidRDefault="00000000">
      <w:pPr>
        <w:pStyle w:val="BodyText"/>
      </w:pPr>
      <w:r>
        <w:lastRenderedPageBreak/>
        <w:t xml:space="preserve">Finally, we highlight that our model is not constrained to dual-signal QS, or to mutually enhancing interactions among signal systems. Figure S.12 takes our two-signal </w:t>
      </w:r>
      <w:r>
        <w:rPr>
          <w:i/>
          <w:iCs/>
        </w:rPr>
        <w:t>las</w:t>
      </w:r>
      <w:r>
        <w:t>–</w:t>
      </w:r>
      <w:r>
        <w:rPr>
          <w:i/>
          <w:iCs/>
        </w:rPr>
        <w:t>rhl</w:t>
      </w:r>
      <w:r>
        <w:t xml:space="preserve"> baseline and adds a third signal module (parameterized by Table S.8) that qualitatively mirrors the </w:t>
      </w:r>
      <w:r>
        <w:rPr>
          <w:i/>
          <w:iCs/>
        </w:rPr>
        <w:t>pqs</w:t>
      </w:r>
      <w:r>
        <w:t xml:space="preserve"> system of </w:t>
      </w:r>
      <w:r>
        <w:rPr>
          <w:i/>
          <w:iCs/>
        </w:rPr>
        <w:t>P. aeruginosa</w:t>
      </w:r>
      <w:r>
        <w:t xml:space="preserve"> (</w:t>
      </w:r>
      <w:r>
        <w:rPr>
          <w:i/>
          <w:iCs/>
        </w:rPr>
        <w:t>pqs</w:t>
      </w:r>
      <w:r>
        <w:t xml:space="preserve"> is both induced by the </w:t>
      </w:r>
      <w:r>
        <w:rPr>
          <w:i/>
          <w:iCs/>
        </w:rPr>
        <w:t>las</w:t>
      </w:r>
      <w:r>
        <w:t xml:space="preserve"> system and repressed by the </w:t>
      </w:r>
      <w:r>
        <w:rPr>
          <w:i/>
          <w:iCs/>
        </w:rPr>
        <w:t>rhl</w:t>
      </w:r>
      <w:r>
        <w:t xml:space="preserve"> system and it, in turn, can induce the </w:t>
      </w:r>
      <w:r>
        <w:rPr>
          <w:i/>
          <w:iCs/>
        </w:rPr>
        <w:t>rhl</w:t>
      </w:r>
      <w:r>
        <w:t xml:space="preserve"> system (12, 52)). Figure S.12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0512EE68" w14:textId="77777777" w:rsidR="00972CFE" w:rsidRDefault="00000000">
      <w:pPr>
        <w:pStyle w:val="Heading2"/>
      </w:pPr>
      <w:bookmarkStart w:id="15" w:name="methods"/>
      <w:bookmarkEnd w:id="14"/>
      <w:r>
        <w:t>Methods</w:t>
      </w:r>
    </w:p>
    <w:p w14:paraId="4250BC09" w14:textId="77777777" w:rsidR="00972CFE" w:rsidRDefault="00000000">
      <w:pPr>
        <w:pStyle w:val="Heading3"/>
      </w:pPr>
      <w:bookmarkStart w:id="16" w:name="literature-review"/>
      <w:r>
        <w:t>Literature Review</w:t>
      </w:r>
    </w:p>
    <w:p w14:paraId="2E4A7E36" w14:textId="77777777" w:rsidR="00972CFE" w:rsidRDefault="00000000">
      <w:pPr>
        <w:pStyle w:val="FirstParagraph"/>
      </w:pPr>
      <w:r>
        <w:t xml:space="preserve">The PubMed database of the US National Institutes of Health was queried on 20 July 2021 using the query </w:t>
      </w:r>
      <w:hyperlink r:id="rId19">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7AD8A864" w14:textId="77777777" w:rsidR="00972CFE" w:rsidRDefault="00000000">
      <w:pPr>
        <w:pStyle w:val="Heading3"/>
      </w:pPr>
      <w:bookmarkStart w:id="17" w:name="data-collection"/>
      <w:bookmarkEnd w:id="16"/>
      <w:r>
        <w:lastRenderedPageBreak/>
        <w:t>Data Collection</w:t>
      </w:r>
    </w:p>
    <w:p w14:paraId="64C10F2B" w14:textId="77777777" w:rsidR="00972CFE"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The transcriptional reporters are based on the mini-CTX-lux reporters (53). Promoter regions of the genes of interest were cloned upstream of the lux operon, creating a transcriptional fusion reporter. The CTX system ensures a single chromosomally integrated reporter. We streaked out all strains in Luria-Bertani (LB) agar at 37°C for 24 hours and then subcultured a single colony in 10 mL LB, incubated at 37°C under shaking conditions (180 rpm) for 24 hours.</w:t>
      </w:r>
    </w:p>
    <w:p w14:paraId="5D6FD4CA" w14:textId="77777777" w:rsidR="00972CFE"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26432000" w14:textId="77777777" w:rsidR="00972CFE" w:rsidRDefault="00000000">
      <w:pPr>
        <w:pStyle w:val="Heading3"/>
      </w:pPr>
      <w:bookmarkStart w:id="18" w:name="data-analysis"/>
      <w:bookmarkEnd w:id="17"/>
      <w:r>
        <w:t>Data Analysis</w:t>
      </w:r>
    </w:p>
    <w:p w14:paraId="782F78F0" w14:textId="77777777" w:rsidR="00972CFE" w:rsidRDefault="00000000">
      <w:pPr>
        <w:pStyle w:val="FirstParagraph"/>
      </w:pPr>
      <w:r>
        <w:t xml:space="preserve">We estimated parameter values in Tables S.3, S.4, S.5, and S.6 with non-linear regression by least squares using the Gauss-Newton algorithm (54).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(55).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503F8054" w14:textId="77777777" w:rsidR="00972CFE" w:rsidRDefault="00000000">
      <w:pPr>
        <w:pStyle w:val="BodyText"/>
      </w:pPr>
      <w:r>
        <w:t>Additional third-party modules:</w:t>
      </w:r>
    </w:p>
    <w:p w14:paraId="2F2AFAFF" w14:textId="77777777" w:rsidR="00972CFE"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1EEBD25E" w14:textId="77777777" w:rsidR="00972CFE"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57F22FCC" w14:textId="77777777" w:rsidR="00972CFE"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0120822D" w14:textId="77777777" w:rsidR="00972CFE" w:rsidRDefault="00000000">
      <w:pPr>
        <w:pStyle w:val="BodyText"/>
      </w:pPr>
      <w:r>
        <w:t>Custom color schemes adapted from seaboarn.</w:t>
      </w:r>
    </w:p>
    <w:p w14:paraId="572E9C63" w14:textId="77777777" w:rsidR="00972CFE"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323269F8" w14:textId="77777777" w:rsidR="00972CFE" w:rsidRDefault="00000000">
      <w:pPr>
        <w:pStyle w:val="BodyText"/>
      </w:pPr>
      <w:r>
        <w:rPr>
          <w:b/>
          <w:bCs/>
        </w:rPr>
        <w:t>Acknowledgements:</w:t>
      </w:r>
      <w:r>
        <w:t xml:space="preserve"> We are grateful to Diego Sunga and Prisha Sharma for their support in conducting follow-up experiments.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53181287" w14:textId="77777777" w:rsidR="00972CFE" w:rsidRDefault="00000000">
      <w:pPr>
        <w:pStyle w:val="Heading2"/>
      </w:pPr>
      <w:bookmarkStart w:id="19" w:name="references"/>
      <w:bookmarkEnd w:id="15"/>
      <w:bookmarkEnd w:id="18"/>
      <w:r>
        <w:t>References</w:t>
      </w:r>
    </w:p>
    <w:p w14:paraId="5D8BB12A" w14:textId="77777777" w:rsidR="00972CFE" w:rsidRDefault="00000000">
      <w:pPr>
        <w:pStyle w:val="Bibliography"/>
      </w:pPr>
      <w:bookmarkStart w:id="20" w:name="ref-Papenfort2016"/>
      <w:bookmarkStart w:id="21"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14:paraId="53187638" w14:textId="77777777" w:rsidR="00972CFE" w:rsidRDefault="00000000">
      <w:pPr>
        <w:pStyle w:val="Bibliography"/>
      </w:pPr>
      <w:bookmarkStart w:id="22" w:name="ref-Whiteley2017"/>
      <w:bookmarkEnd w:id="20"/>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14:paraId="6C7C13A3" w14:textId="77777777" w:rsidR="00972CFE" w:rsidRDefault="00000000">
      <w:pPr>
        <w:pStyle w:val="Bibliography"/>
      </w:pPr>
      <w:bookmarkStart w:id="23" w:name="ref-Pearson1997"/>
      <w:bookmarkEnd w:id="22"/>
      <w:r>
        <w:lastRenderedPageBreak/>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14:paraId="6F0A577D" w14:textId="77777777" w:rsidR="00972CFE" w:rsidRDefault="00000000">
      <w:pPr>
        <w:pStyle w:val="Bibliography"/>
      </w:pPr>
      <w:bookmarkStart w:id="24" w:name="ref-Chugani2001"/>
      <w:bookmarkEnd w:id="23"/>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14:paraId="7ACB393D" w14:textId="77777777" w:rsidR="00972CFE" w:rsidRDefault="00000000">
      <w:pPr>
        <w:pStyle w:val="Bibliography"/>
      </w:pPr>
      <w:bookmarkStart w:id="25" w:name="ref-Kiratisin2002"/>
      <w:bookmarkEnd w:id="24"/>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14:paraId="615FC97A" w14:textId="77777777" w:rsidR="00972CFE" w:rsidRDefault="00000000">
      <w:pPr>
        <w:pStyle w:val="Bibliography"/>
      </w:pPr>
      <w:bookmarkStart w:id="26" w:name="ref-Popat2015"/>
      <w:bookmarkEnd w:id="25"/>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14:paraId="32C131F3" w14:textId="77777777" w:rsidR="00972CFE" w:rsidRDefault="00000000">
      <w:pPr>
        <w:pStyle w:val="Bibliography"/>
      </w:pPr>
      <w:bookmarkStart w:id="27" w:name="ref-Perez2018"/>
      <w:bookmarkEnd w:id="26"/>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14:paraId="38A60EF2" w14:textId="77777777" w:rsidR="00972CFE" w:rsidRDefault="00000000">
      <w:pPr>
        <w:pStyle w:val="Bibliography"/>
      </w:pPr>
      <w:bookmarkStart w:id="28" w:name="ref-Pearson1999"/>
      <w:bookmarkEnd w:id="27"/>
      <w:r>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14:paraId="55982152" w14:textId="77777777" w:rsidR="00972CFE" w:rsidRDefault="00000000">
      <w:pPr>
        <w:pStyle w:val="Bibliography"/>
      </w:pPr>
      <w:bookmarkStart w:id="29" w:name="ref-Bottomley2007"/>
      <w:bookmarkEnd w:id="28"/>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14:paraId="48432499" w14:textId="77777777" w:rsidR="00972CFE" w:rsidRDefault="00000000">
      <w:pPr>
        <w:pStyle w:val="Bibliography"/>
      </w:pPr>
      <w:bookmarkStart w:id="30" w:name="ref-Whiteley1999"/>
      <w:bookmarkEnd w:id="29"/>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14:paraId="52DFEB4E" w14:textId="77777777" w:rsidR="00972CFE" w:rsidRDefault="00000000">
      <w:pPr>
        <w:pStyle w:val="Bibliography"/>
      </w:pPr>
      <w:bookmarkStart w:id="31" w:name="ref-Pesci1997"/>
      <w:bookmarkEnd w:id="30"/>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14:paraId="7352F47C" w14:textId="77777777" w:rsidR="00972CFE" w:rsidRDefault="00000000">
      <w:pPr>
        <w:pStyle w:val="Bibliography"/>
      </w:pPr>
      <w:bookmarkStart w:id="32" w:name="ref-Lee2015"/>
      <w:bookmarkEnd w:id="31"/>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14:paraId="507A417E" w14:textId="77777777" w:rsidR="00972CFE" w:rsidRDefault="00000000">
      <w:pPr>
        <w:pStyle w:val="Bibliography"/>
      </w:pPr>
      <w:bookmarkStart w:id="33" w:name="ref-Schuster2007"/>
      <w:bookmarkEnd w:id="32"/>
      <w:r>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14:paraId="7D2F4FC4" w14:textId="77777777" w:rsidR="00972CFE" w:rsidRDefault="00000000">
      <w:pPr>
        <w:pStyle w:val="Bibliography"/>
      </w:pPr>
      <w:bookmarkStart w:id="34" w:name="ref-Latifi1996"/>
      <w:bookmarkEnd w:id="33"/>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14:paraId="1B141FF8" w14:textId="77777777" w:rsidR="00972CFE" w:rsidRDefault="00000000">
      <w:pPr>
        <w:pStyle w:val="Bibliography"/>
      </w:pPr>
      <w:bookmarkStart w:id="35" w:name="ref-Dekimpe2009"/>
      <w:bookmarkEnd w:id="34"/>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14:paraId="6E1B3A0B" w14:textId="77777777" w:rsidR="00972CFE" w:rsidRDefault="00000000">
      <w:pPr>
        <w:pStyle w:val="Bibliography"/>
      </w:pPr>
      <w:bookmarkStart w:id="36" w:name="ref-Kostylev2019"/>
      <w:bookmarkEnd w:id="35"/>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14:paraId="258EA6BE" w14:textId="77777777" w:rsidR="00972CFE" w:rsidRDefault="00000000">
      <w:pPr>
        <w:pStyle w:val="Bibliography"/>
      </w:pPr>
      <w:bookmarkStart w:id="37" w:name="ref-Juříková2023"/>
      <w:bookmarkEnd w:id="36"/>
      <w:r>
        <w:t xml:space="preserve">17. </w:t>
      </w:r>
      <w:r>
        <w:tab/>
        <w:t xml:space="preserve">T. Juříková, </w:t>
      </w:r>
      <w:r>
        <w:rPr>
          <w:i/>
          <w:iCs/>
        </w:rPr>
        <w:t>et al.</w:t>
      </w:r>
      <w:r>
        <w:t xml:space="preserve">, The deciphering of growth-dependent strategies for quorum-sensing networks in pseudomonas aeruginosa. </w:t>
      </w:r>
      <w:r>
        <w:rPr>
          <w:i/>
          <w:iCs/>
        </w:rPr>
        <w:t>Microorganisms</w:t>
      </w:r>
      <w:r>
        <w:t xml:space="preserve"> </w:t>
      </w:r>
      <w:r>
        <w:rPr>
          <w:b/>
          <w:bCs/>
        </w:rPr>
        <w:t>11</w:t>
      </w:r>
      <w:r>
        <w:t>, 2329 (2023).</w:t>
      </w:r>
    </w:p>
    <w:p w14:paraId="6C9F8C54" w14:textId="77777777" w:rsidR="00972CFE" w:rsidRDefault="00000000">
      <w:pPr>
        <w:pStyle w:val="Bibliography"/>
      </w:pPr>
      <w:bookmarkStart w:id="38" w:name="ref-Buchler2003"/>
      <w:bookmarkEnd w:id="37"/>
      <w:r>
        <w:lastRenderedPageBreak/>
        <w:t xml:space="preserve">18. </w:t>
      </w:r>
      <w:r>
        <w:tab/>
        <w:t xml:space="preserve">N. Buchler, U. Gerland, T. Hwa, On schemes of combinatorial transcription logic. </w:t>
      </w:r>
      <w:r>
        <w:rPr>
          <w:i/>
          <w:iCs/>
        </w:rPr>
        <w:t>Proc Natl Acad Sci U S A</w:t>
      </w:r>
      <w:r>
        <w:t xml:space="preserve"> </w:t>
      </w:r>
      <w:r>
        <w:rPr>
          <w:b/>
          <w:bCs/>
        </w:rPr>
        <w:t>100</w:t>
      </w:r>
      <w:r>
        <w:t>, 5136–5141 (2003).</w:t>
      </w:r>
    </w:p>
    <w:p w14:paraId="3FD77365" w14:textId="77777777" w:rsidR="00972CFE" w:rsidRDefault="00000000">
      <w:pPr>
        <w:pStyle w:val="Bibliography"/>
      </w:pPr>
      <w:bookmarkStart w:id="39" w:name="ref-Kaplan2008"/>
      <w:bookmarkEnd w:id="38"/>
      <w:r>
        <w:t xml:space="preserve">19. </w:t>
      </w:r>
      <w:r>
        <w:tab/>
        <w:t xml:space="preserve">S. Kaplan, A. Bren, A. Zaslaver, E. Dekel, U. Alon, Diverse two-dimensional input functions control bacterial sugar genes. </w:t>
      </w:r>
      <w:r>
        <w:rPr>
          <w:i/>
          <w:iCs/>
        </w:rPr>
        <w:t>Mol Cell</w:t>
      </w:r>
      <w:r>
        <w:t xml:space="preserve"> </w:t>
      </w:r>
      <w:r>
        <w:rPr>
          <w:b/>
          <w:bCs/>
        </w:rPr>
        <w:t>29</w:t>
      </w:r>
      <w:r>
        <w:t>, 786–792 (2008).</w:t>
      </w:r>
    </w:p>
    <w:p w14:paraId="4772AD5A" w14:textId="77777777" w:rsidR="00972CFE" w:rsidRDefault="00000000">
      <w:pPr>
        <w:pStyle w:val="Bibliography"/>
      </w:pPr>
      <w:bookmarkStart w:id="40" w:name="ref-Casilag2016"/>
      <w:bookmarkEnd w:id="39"/>
      <w:r>
        <w:t xml:space="preserve">20.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14:paraId="1571305D" w14:textId="77777777" w:rsidR="00972CFE" w:rsidRDefault="00000000">
      <w:pPr>
        <w:pStyle w:val="Bibliography"/>
      </w:pPr>
      <w:bookmarkStart w:id="41" w:name="ref-Cigana2021"/>
      <w:bookmarkEnd w:id="40"/>
      <w:r>
        <w:t xml:space="preserve">21.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14:paraId="32590B05" w14:textId="77777777" w:rsidR="00972CFE" w:rsidRDefault="00000000">
      <w:pPr>
        <w:pStyle w:val="Bibliography"/>
      </w:pPr>
      <w:bookmarkStart w:id="42" w:name="ref-Diggle2007"/>
      <w:bookmarkEnd w:id="41"/>
      <w:r>
        <w:t xml:space="preserve">22. </w:t>
      </w:r>
      <w:r>
        <w:tab/>
        <w:t xml:space="preserve">S. Diggle, A. Griffin, G. Campbell, S. West, Cooperation and conflict in quorum-sensing bacterial populations. </w:t>
      </w:r>
      <w:r>
        <w:rPr>
          <w:i/>
          <w:iCs/>
        </w:rPr>
        <w:t>Nature</w:t>
      </w:r>
      <w:r>
        <w:t xml:space="preserve"> </w:t>
      </w:r>
      <w:r>
        <w:rPr>
          <w:b/>
          <w:bCs/>
        </w:rPr>
        <w:t>450</w:t>
      </w:r>
      <w:r>
        <w:t>, 411–414 (2007).</w:t>
      </w:r>
    </w:p>
    <w:p w14:paraId="1D08913D" w14:textId="77777777" w:rsidR="00972CFE" w:rsidRDefault="00000000">
      <w:pPr>
        <w:pStyle w:val="Bibliography"/>
      </w:pPr>
      <w:bookmarkStart w:id="43" w:name="ref-Allen2016"/>
      <w:bookmarkEnd w:id="42"/>
      <w:r>
        <w:t xml:space="preserve">23. </w:t>
      </w:r>
      <w:r>
        <w:tab/>
        <w:t xml:space="preserve">R. Allen, L. McNally, R. Popat, S. Brown, Quorum sensing protects bacterial co-operation from exploitation by cheats. </w:t>
      </w:r>
      <w:r>
        <w:rPr>
          <w:i/>
          <w:iCs/>
        </w:rPr>
        <w:t>ISME J</w:t>
      </w:r>
      <w:r>
        <w:t xml:space="preserve"> </w:t>
      </w:r>
      <w:r>
        <w:rPr>
          <w:b/>
          <w:bCs/>
        </w:rPr>
        <w:t>10</w:t>
      </w:r>
      <w:r>
        <w:t>, 1706–1716 (2016).</w:t>
      </w:r>
    </w:p>
    <w:p w14:paraId="6CB8A381" w14:textId="77777777" w:rsidR="00972CFE" w:rsidRDefault="00000000">
      <w:pPr>
        <w:pStyle w:val="Bibliography"/>
      </w:pPr>
      <w:bookmarkStart w:id="44" w:name="ref-Sexton2017"/>
      <w:bookmarkEnd w:id="43"/>
      <w:r>
        <w:t xml:space="preserve">24. </w:t>
      </w:r>
      <w:r>
        <w:tab/>
        <w:t xml:space="preserve">D. Sexton, M. Schuster, Nutrient limitation determines the fitness of cheaters in bacterial siderophore cooperation. </w:t>
      </w:r>
      <w:r>
        <w:rPr>
          <w:i/>
          <w:iCs/>
        </w:rPr>
        <w:t>Nat Commun</w:t>
      </w:r>
      <w:r>
        <w:t xml:space="preserve"> </w:t>
      </w:r>
      <w:r>
        <w:rPr>
          <w:b/>
          <w:bCs/>
        </w:rPr>
        <w:t>8</w:t>
      </w:r>
      <w:r>
        <w:t>, 230 (2017).</w:t>
      </w:r>
    </w:p>
    <w:p w14:paraId="02657D9C" w14:textId="77777777" w:rsidR="00972CFE" w:rsidRDefault="00000000">
      <w:pPr>
        <w:pStyle w:val="Bibliography"/>
      </w:pPr>
      <w:bookmarkStart w:id="45" w:name="ref-Nouwens2003"/>
      <w:bookmarkEnd w:id="44"/>
      <w:r>
        <w:t xml:space="preserve">25.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14:paraId="0A9072D0" w14:textId="77777777" w:rsidR="00972CFE" w:rsidRDefault="00000000">
      <w:pPr>
        <w:pStyle w:val="Bibliography"/>
      </w:pPr>
      <w:bookmarkStart w:id="46" w:name="ref-Anderson1999"/>
      <w:bookmarkEnd w:id="45"/>
      <w:r>
        <w:t xml:space="preserve">26. </w:t>
      </w:r>
      <w:r>
        <w:tab/>
        <w:t xml:space="preserve">R. M. Anderson, C. A. Zimprich, L. Rust, A second operator is involved in pseudomonas aeruginosa elastase (lasB) activation. </w:t>
      </w:r>
      <w:r>
        <w:rPr>
          <w:i/>
          <w:iCs/>
        </w:rPr>
        <w:t>J Bacteriol</w:t>
      </w:r>
      <w:r>
        <w:t xml:space="preserve"> </w:t>
      </w:r>
      <w:r>
        <w:rPr>
          <w:b/>
          <w:bCs/>
        </w:rPr>
        <w:t>181</w:t>
      </w:r>
      <w:r>
        <w:t>, 6264–6270 (1999).</w:t>
      </w:r>
    </w:p>
    <w:p w14:paraId="62913E53" w14:textId="77777777" w:rsidR="00972CFE" w:rsidRDefault="00000000">
      <w:pPr>
        <w:pStyle w:val="Bibliography"/>
      </w:pPr>
      <w:bookmarkStart w:id="47" w:name="ref-Rattray2023"/>
      <w:bookmarkEnd w:id="46"/>
      <w:r>
        <w:t xml:space="preserve">27. </w:t>
      </w:r>
      <w:r>
        <w:tab/>
        <w:t xml:space="preserve">J. B. Rattray, P. J. Kramer, J. Gurney, S. Thomas, S. P. Brown, The dynamic response of quorum sensing to density is robust to signal supplementation and individual signal synthase knockouts. </w:t>
      </w:r>
      <w:r>
        <w:rPr>
          <w:i/>
          <w:iCs/>
        </w:rPr>
        <w:t>Microbiology (Reading)</w:t>
      </w:r>
      <w:r>
        <w:t xml:space="preserve"> </w:t>
      </w:r>
      <w:r>
        <w:rPr>
          <w:b/>
          <w:bCs/>
        </w:rPr>
        <w:t>169</w:t>
      </w:r>
      <w:r>
        <w:t>, 001321 (2023).</w:t>
      </w:r>
    </w:p>
    <w:p w14:paraId="7910DFCA" w14:textId="77777777" w:rsidR="00972CFE" w:rsidRDefault="00000000">
      <w:pPr>
        <w:pStyle w:val="Bibliography"/>
      </w:pPr>
      <w:bookmarkStart w:id="48" w:name="ref-Fuqua1994"/>
      <w:bookmarkEnd w:id="47"/>
      <w:r>
        <w:t xml:space="preserve">28.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14:paraId="17663DA6" w14:textId="77777777" w:rsidR="00972CFE" w:rsidRDefault="00000000">
      <w:pPr>
        <w:pStyle w:val="Bibliography"/>
      </w:pPr>
      <w:bookmarkStart w:id="49" w:name="ref-Redfield2002"/>
      <w:bookmarkEnd w:id="48"/>
      <w:r>
        <w:t xml:space="preserve">29. </w:t>
      </w:r>
      <w:r>
        <w:tab/>
        <w:t xml:space="preserve">R. Redfield, Is quorum sensing a side effect of diffusion sensing. </w:t>
      </w:r>
      <w:r>
        <w:rPr>
          <w:i/>
          <w:iCs/>
        </w:rPr>
        <w:t>Trends Microbiol</w:t>
      </w:r>
      <w:r>
        <w:t xml:space="preserve"> </w:t>
      </w:r>
      <w:r>
        <w:rPr>
          <w:b/>
          <w:bCs/>
        </w:rPr>
        <w:t>10</w:t>
      </w:r>
      <w:r>
        <w:t>, 365–370 (2002).</w:t>
      </w:r>
    </w:p>
    <w:p w14:paraId="4857C71F" w14:textId="77777777" w:rsidR="00972CFE" w:rsidRDefault="00000000">
      <w:pPr>
        <w:pStyle w:val="Bibliography"/>
      </w:pPr>
      <w:bookmarkStart w:id="50" w:name="ref-Hense2007"/>
      <w:bookmarkEnd w:id="49"/>
      <w:r>
        <w:t xml:space="preserve">30.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14:paraId="6A7EC47B" w14:textId="77777777" w:rsidR="00972CFE" w:rsidRDefault="00000000">
      <w:pPr>
        <w:pStyle w:val="Bibliography"/>
      </w:pPr>
      <w:bookmarkStart w:id="51" w:name="ref-Boedicker2009"/>
      <w:bookmarkEnd w:id="50"/>
      <w:r>
        <w:t xml:space="preserve">31.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14:paraId="1C4482D2" w14:textId="77777777" w:rsidR="00972CFE" w:rsidRDefault="00000000">
      <w:pPr>
        <w:pStyle w:val="Bibliography"/>
      </w:pPr>
      <w:bookmarkStart w:id="52" w:name="ref-Eldar2011"/>
      <w:bookmarkEnd w:id="51"/>
      <w:r>
        <w:t xml:space="preserve">32. </w:t>
      </w:r>
      <w:r>
        <w:tab/>
        <w:t xml:space="preserve">A. Eldar, Social conflict drives the evolutionary divergence of quorum sensing. </w:t>
      </w:r>
      <w:r>
        <w:rPr>
          <w:i/>
          <w:iCs/>
        </w:rPr>
        <w:t>Proc Natl Acad Sci U S A</w:t>
      </w:r>
      <w:r>
        <w:t xml:space="preserve"> </w:t>
      </w:r>
      <w:r>
        <w:rPr>
          <w:b/>
          <w:bCs/>
        </w:rPr>
        <w:t>108</w:t>
      </w:r>
      <w:r>
        <w:t>, 13635–13640 (2011).</w:t>
      </w:r>
    </w:p>
    <w:p w14:paraId="0B5B677E" w14:textId="77777777" w:rsidR="00972CFE" w:rsidRDefault="00000000">
      <w:pPr>
        <w:pStyle w:val="Bibliography"/>
      </w:pPr>
      <w:bookmarkStart w:id="53" w:name="ref-Cornforth2014"/>
      <w:bookmarkEnd w:id="52"/>
      <w:r>
        <w:lastRenderedPageBreak/>
        <w:t xml:space="preserve">33.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14:paraId="4C9DFEE6" w14:textId="77777777" w:rsidR="00972CFE" w:rsidRDefault="00000000">
      <w:pPr>
        <w:pStyle w:val="Bibliography"/>
      </w:pPr>
      <w:bookmarkStart w:id="54" w:name="ref-James2000"/>
      <w:bookmarkEnd w:id="53"/>
      <w:r>
        <w:t xml:space="preserve">34.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14:paraId="6448AB3F" w14:textId="77777777" w:rsidR="00972CFE" w:rsidRDefault="00000000">
      <w:pPr>
        <w:pStyle w:val="Bibliography"/>
      </w:pPr>
      <w:bookmarkStart w:id="55" w:name="ref-Dockery2001"/>
      <w:bookmarkEnd w:id="54"/>
      <w:r>
        <w:t xml:space="preserve">35.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14:paraId="52DE8D17" w14:textId="77777777" w:rsidR="00972CFE" w:rsidRDefault="00000000">
      <w:pPr>
        <w:pStyle w:val="Bibliography"/>
      </w:pPr>
      <w:bookmarkStart w:id="56" w:name="ref-Ward2001"/>
      <w:bookmarkEnd w:id="55"/>
      <w:r>
        <w:t xml:space="preserve">36.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14:paraId="3ED79933" w14:textId="77777777" w:rsidR="00972CFE" w:rsidRDefault="00000000">
      <w:pPr>
        <w:pStyle w:val="Bibliography"/>
      </w:pPr>
      <w:bookmarkStart w:id="57" w:name="ref-Brown2013"/>
      <w:bookmarkEnd w:id="56"/>
      <w:r>
        <w:t xml:space="preserve">37. </w:t>
      </w:r>
      <w:r>
        <w:tab/>
        <w:t xml:space="preserve">D. Brown, Linking molecular and population processes in mathematical models of quorum sensing. </w:t>
      </w:r>
      <w:r>
        <w:rPr>
          <w:i/>
          <w:iCs/>
        </w:rPr>
        <w:t>Bull Math Biol</w:t>
      </w:r>
      <w:r>
        <w:t xml:space="preserve"> </w:t>
      </w:r>
      <w:r>
        <w:rPr>
          <w:b/>
          <w:bCs/>
        </w:rPr>
        <w:t>75</w:t>
      </w:r>
      <w:r>
        <w:t>, 1813–1839 (2013).</w:t>
      </w:r>
    </w:p>
    <w:p w14:paraId="701D1E4E" w14:textId="77777777" w:rsidR="00972CFE" w:rsidRDefault="00000000">
      <w:pPr>
        <w:pStyle w:val="Bibliography"/>
      </w:pPr>
      <w:bookmarkStart w:id="58" w:name="ref-Rattray2022"/>
      <w:bookmarkEnd w:id="57"/>
      <w:r>
        <w:t xml:space="preserve">38.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14:paraId="28207BF1" w14:textId="77777777" w:rsidR="00972CFE" w:rsidRDefault="00000000">
      <w:pPr>
        <w:pStyle w:val="Bibliography"/>
      </w:pPr>
      <w:bookmarkStart w:id="59" w:name="ref-Stearns1989"/>
      <w:bookmarkEnd w:id="58"/>
      <w:r>
        <w:t xml:space="preserve">39. </w:t>
      </w:r>
      <w:r>
        <w:tab/>
        <w:t xml:space="preserve">S. Stearns, The evolutionary significance of phenotypic plasticity. </w:t>
      </w:r>
      <w:r>
        <w:rPr>
          <w:i/>
          <w:iCs/>
        </w:rPr>
        <w:t>Bioscience</w:t>
      </w:r>
      <w:r>
        <w:t xml:space="preserve"> (1989).</w:t>
      </w:r>
    </w:p>
    <w:p w14:paraId="013F8BB8" w14:textId="77777777" w:rsidR="00972CFE" w:rsidRDefault="00000000">
      <w:pPr>
        <w:pStyle w:val="Bibliography"/>
      </w:pPr>
      <w:bookmarkStart w:id="60" w:name="ref-Mayer2023"/>
      <w:bookmarkEnd w:id="59"/>
      <w:r>
        <w:t xml:space="preserve">40.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14:paraId="7DDFCA09" w14:textId="77777777" w:rsidR="00972CFE" w:rsidRDefault="00000000">
      <w:pPr>
        <w:pStyle w:val="Bibliography"/>
      </w:pPr>
      <w:bookmarkStart w:id="61" w:name="ref-Auchtung2006"/>
      <w:bookmarkEnd w:id="60"/>
      <w:r>
        <w:t xml:space="preserve">41. </w:t>
      </w:r>
      <w:r>
        <w:tab/>
        <w:t xml:space="preserve">J. Auchtung, C. Lee, A. Grossman, Modulation of the ComA-dependent quorum response in bacillus subtilis by multiple rap proteins and phr peptides. </w:t>
      </w:r>
      <w:r>
        <w:rPr>
          <w:i/>
          <w:iCs/>
        </w:rPr>
        <w:t>J Bacteriol</w:t>
      </w:r>
      <w:r>
        <w:t xml:space="preserve"> </w:t>
      </w:r>
      <w:r>
        <w:rPr>
          <w:b/>
          <w:bCs/>
        </w:rPr>
        <w:t>188</w:t>
      </w:r>
      <w:r>
        <w:t>, 5273–5285 (2006).</w:t>
      </w:r>
    </w:p>
    <w:p w14:paraId="0D56C451" w14:textId="77777777" w:rsidR="00972CFE" w:rsidRDefault="00000000">
      <w:pPr>
        <w:pStyle w:val="Bibliography"/>
      </w:pPr>
      <w:bookmarkStart w:id="62" w:name="ref-Voichek2020"/>
      <w:bookmarkEnd w:id="61"/>
      <w:r>
        <w:t xml:space="preserve">42.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14:paraId="54B61ED5" w14:textId="77777777" w:rsidR="00972CFE" w:rsidRDefault="00000000">
      <w:pPr>
        <w:pStyle w:val="Bibliography"/>
      </w:pPr>
      <w:bookmarkStart w:id="63" w:name="ref-Henke2004"/>
      <w:bookmarkEnd w:id="62"/>
      <w:r>
        <w:t xml:space="preserve">43. </w:t>
      </w:r>
      <w:r>
        <w:tab/>
        <w:t xml:space="preserve">J. Henke, B. Bassler, Three parallel quorum-sensing systems regulate gene expression in vibrio harveyi. </w:t>
      </w:r>
      <w:r>
        <w:rPr>
          <w:i/>
          <w:iCs/>
        </w:rPr>
        <w:t>J Bacteriol</w:t>
      </w:r>
      <w:r>
        <w:t xml:space="preserve"> </w:t>
      </w:r>
      <w:r>
        <w:rPr>
          <w:b/>
          <w:bCs/>
        </w:rPr>
        <w:t>186</w:t>
      </w:r>
      <w:r>
        <w:t>, 6902–6914 (2004).</w:t>
      </w:r>
    </w:p>
    <w:p w14:paraId="69C9AF30" w14:textId="77777777" w:rsidR="00972CFE" w:rsidRDefault="00000000">
      <w:pPr>
        <w:pStyle w:val="Bibliography"/>
      </w:pPr>
      <w:bookmarkStart w:id="64" w:name="ref-Long2009"/>
      <w:bookmarkEnd w:id="63"/>
      <w:r>
        <w:t xml:space="preserve">44.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14:paraId="7952AE28" w14:textId="77777777" w:rsidR="00972CFE" w:rsidRDefault="00000000">
      <w:pPr>
        <w:pStyle w:val="Bibliography"/>
      </w:pPr>
      <w:bookmarkStart w:id="65" w:name="ref-Bridges2019"/>
      <w:bookmarkEnd w:id="64"/>
      <w:r>
        <w:t xml:space="preserve">45.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14:paraId="73F0400B" w14:textId="77777777" w:rsidR="00972CFE" w:rsidRDefault="00000000">
      <w:pPr>
        <w:pStyle w:val="Bibliography"/>
      </w:pPr>
      <w:bookmarkStart w:id="66" w:name="ref-Jung2016"/>
      <w:bookmarkEnd w:id="65"/>
      <w:r>
        <w:t xml:space="preserve">46. </w:t>
      </w:r>
      <w:r>
        <w:tab/>
        <w:t xml:space="preserve">S. Jung, L. Hawver, W. Ng, Parallel quorum sensing signaling pathways in vibrio cholerae. </w:t>
      </w:r>
      <w:r>
        <w:rPr>
          <w:i/>
          <w:iCs/>
        </w:rPr>
        <w:t>Curr Genet</w:t>
      </w:r>
      <w:r>
        <w:t xml:space="preserve"> </w:t>
      </w:r>
      <w:r>
        <w:rPr>
          <w:b/>
          <w:bCs/>
        </w:rPr>
        <w:t>62</w:t>
      </w:r>
      <w:r>
        <w:t>, 255–260 (2016).</w:t>
      </w:r>
    </w:p>
    <w:p w14:paraId="62D5EE70" w14:textId="77777777" w:rsidR="00972CFE" w:rsidRDefault="00000000">
      <w:pPr>
        <w:pStyle w:val="Bibliography"/>
      </w:pPr>
      <w:bookmarkStart w:id="67" w:name="ref-Mok2003"/>
      <w:bookmarkEnd w:id="66"/>
      <w:r>
        <w:t xml:space="preserve">47.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14:paraId="4429360C" w14:textId="77777777" w:rsidR="00972CFE" w:rsidRDefault="00000000">
      <w:pPr>
        <w:pStyle w:val="Bibliography"/>
      </w:pPr>
      <w:bookmarkStart w:id="68" w:name="ref-Mehta2009"/>
      <w:bookmarkEnd w:id="67"/>
      <w:r>
        <w:t xml:space="preserve">48. </w:t>
      </w:r>
      <w:r>
        <w:tab/>
        <w:t xml:space="preserve">P. Mehta, S. Goyal, T. Long, B. L. Bassler, N. S. Wingreen, Information processing and signal integration in bacterial quorum sensing. </w:t>
      </w:r>
      <w:r>
        <w:rPr>
          <w:i/>
          <w:iCs/>
        </w:rPr>
        <w:t>Mol Syst Biol</w:t>
      </w:r>
      <w:r>
        <w:t xml:space="preserve"> </w:t>
      </w:r>
      <w:r>
        <w:rPr>
          <w:b/>
          <w:bCs/>
        </w:rPr>
        <w:t>5</w:t>
      </w:r>
      <w:r>
        <w:t>, 325 (2009).</w:t>
      </w:r>
    </w:p>
    <w:p w14:paraId="7C0B51C2" w14:textId="77777777" w:rsidR="00972CFE" w:rsidRDefault="00000000">
      <w:pPr>
        <w:pStyle w:val="Bibliography"/>
      </w:pPr>
      <w:bookmarkStart w:id="69" w:name="ref-West2012"/>
      <w:bookmarkEnd w:id="68"/>
      <w:r>
        <w:lastRenderedPageBreak/>
        <w:t xml:space="preserve">49. </w:t>
      </w:r>
      <w:r>
        <w:tab/>
        <w:t xml:space="preserve">S. A. West, K. Winzer, A. Gardner, S. P. Diggle, Quorum sensing and the confusion about diffusion. </w:t>
      </w:r>
      <w:r>
        <w:rPr>
          <w:i/>
          <w:iCs/>
        </w:rPr>
        <w:t>Trends Microbiol</w:t>
      </w:r>
      <w:r>
        <w:t xml:space="preserve"> </w:t>
      </w:r>
      <w:r>
        <w:rPr>
          <w:b/>
          <w:bCs/>
        </w:rPr>
        <w:t>20</w:t>
      </w:r>
      <w:r>
        <w:t>, 586–594 (2012).</w:t>
      </w:r>
    </w:p>
    <w:p w14:paraId="594C72CA" w14:textId="77777777" w:rsidR="00972CFE" w:rsidRDefault="00000000">
      <w:pPr>
        <w:pStyle w:val="Bibliography"/>
      </w:pPr>
      <w:bookmarkStart w:id="70" w:name="ref-Keegan2023"/>
      <w:bookmarkEnd w:id="69"/>
      <w:r>
        <w:t xml:space="preserve">50. </w:t>
      </w:r>
      <w:r>
        <w:tab/>
        <w:t xml:space="preserve">N. R. Keegan, </w:t>
      </w:r>
      <w:r>
        <w:rPr>
          <w:i/>
          <w:iCs/>
        </w:rPr>
        <w:t>et al.</w:t>
      </w:r>
      <w:r>
        <w:t xml:space="preserve">, Promoter selectivity of the RhlR quorum-sensing transcription factor receptor in pseudomonas aeruginosa is coordinated by distinct and overlapping dependencies on C4-homoserine lactone and PqsE. </w:t>
      </w:r>
      <w:r>
        <w:rPr>
          <w:i/>
          <w:iCs/>
        </w:rPr>
        <w:t>PLoS Genet</w:t>
      </w:r>
      <w:r>
        <w:t xml:space="preserve"> </w:t>
      </w:r>
      <w:r>
        <w:rPr>
          <w:b/>
          <w:bCs/>
        </w:rPr>
        <w:t>19</w:t>
      </w:r>
      <w:r>
        <w:t>, e1010900 (2023).</w:t>
      </w:r>
    </w:p>
    <w:p w14:paraId="64DC9E33" w14:textId="77777777" w:rsidR="00972CFE" w:rsidRDefault="00000000">
      <w:pPr>
        <w:pStyle w:val="Bibliography"/>
      </w:pPr>
      <w:bookmarkStart w:id="71" w:name="ref-Sauer1995"/>
      <w:bookmarkEnd w:id="70"/>
      <w:r>
        <w:t xml:space="preserve">51. </w:t>
      </w:r>
      <w:r>
        <w:tab/>
        <w:t xml:space="preserve">F. Sauer, S. Hansen, R. Tjian, Multiple TAFIIs directing synergistic activation of transcription. </w:t>
      </w:r>
      <w:r>
        <w:rPr>
          <w:i/>
          <w:iCs/>
        </w:rPr>
        <w:t>Science</w:t>
      </w:r>
      <w:r>
        <w:t xml:space="preserve"> </w:t>
      </w:r>
      <w:r>
        <w:rPr>
          <w:b/>
          <w:bCs/>
        </w:rPr>
        <w:t>270</w:t>
      </w:r>
      <w:r>
        <w:t>, 1783–1788 (1995).</w:t>
      </w:r>
    </w:p>
    <w:p w14:paraId="7EADFD2A" w14:textId="77777777" w:rsidR="00972CFE" w:rsidRDefault="00000000">
      <w:pPr>
        <w:pStyle w:val="Bibliography"/>
      </w:pPr>
      <w:bookmarkStart w:id="72" w:name="ref-McGrath2004"/>
      <w:bookmarkEnd w:id="71"/>
      <w:r>
        <w:t xml:space="preserve">52.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14:paraId="73D63103" w14:textId="77777777" w:rsidR="00972CFE" w:rsidRDefault="00000000">
      <w:pPr>
        <w:pStyle w:val="Bibliography"/>
      </w:pPr>
      <w:bookmarkStart w:id="73" w:name="ref-Becher2000"/>
      <w:bookmarkEnd w:id="72"/>
      <w:r>
        <w:t xml:space="preserve">53. </w:t>
      </w:r>
      <w:r>
        <w:tab/>
        <w:t xml:space="preserve">A. Becher, H. P. Schweizer, Integration-proficient pseudomonas aeruginosa vectors for isolation of single-copy chromosomal lacZ and lux gene fusions. </w:t>
      </w:r>
      <w:r>
        <w:rPr>
          <w:i/>
          <w:iCs/>
        </w:rPr>
        <w:t>Biotechniques</w:t>
      </w:r>
      <w:r>
        <w:t xml:space="preserve"> </w:t>
      </w:r>
      <w:r>
        <w:rPr>
          <w:b/>
          <w:bCs/>
        </w:rPr>
        <w:t>29</w:t>
      </w:r>
      <w:r>
        <w:t>, 948–952 (2000).</w:t>
      </w:r>
    </w:p>
    <w:p w14:paraId="7B232A8F" w14:textId="77777777" w:rsidR="00972CFE" w:rsidRDefault="00000000">
      <w:pPr>
        <w:pStyle w:val="Bibliography"/>
      </w:pPr>
      <w:bookmarkStart w:id="74" w:name="ref-Ratkowsky1983"/>
      <w:bookmarkEnd w:id="73"/>
      <w:r>
        <w:t xml:space="preserve">54. </w:t>
      </w:r>
      <w:r>
        <w:tab/>
        <w:t xml:space="preserve">D. A. Ratkowsky, </w:t>
      </w:r>
      <w:r>
        <w:rPr>
          <w:i/>
          <w:iCs/>
        </w:rPr>
        <w:t>Nonlinear regression modeling: A unified practical approach</w:t>
      </w:r>
      <w:r>
        <w:t xml:space="preserve"> (Marcel Dekker Incorporated, 1983).</w:t>
      </w:r>
    </w:p>
    <w:p w14:paraId="0F24B480" w14:textId="77777777" w:rsidR="00972CFE" w:rsidRDefault="00000000">
      <w:pPr>
        <w:pStyle w:val="Bibliography"/>
      </w:pPr>
      <w:bookmarkStart w:id="75" w:name="ref-Powell1968"/>
      <w:bookmarkEnd w:id="74"/>
      <w:r>
        <w:t xml:space="preserve">55. </w:t>
      </w:r>
      <w:r>
        <w:tab/>
        <w:t>M. J. Powell, A fortran subroutine for solving systems of nonlinear algebraic equations. (1968).</w:t>
      </w:r>
      <w:bookmarkEnd w:id="0"/>
      <w:bookmarkEnd w:id="19"/>
      <w:bookmarkEnd w:id="21"/>
      <w:bookmarkEnd w:id="75"/>
    </w:p>
    <w:sectPr w:rsidR="00972CFE"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ADE888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A238C5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88035091">
    <w:abstractNumId w:val="0"/>
  </w:num>
  <w:num w:numId="3" w16cid:durableId="18664012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252E70"/>
    <w:rsid w:val="004449AC"/>
    <w:rsid w:val="004C1B6C"/>
    <w:rsid w:val="007D0AF9"/>
    <w:rsid w:val="00806A02"/>
    <w:rsid w:val="00972CFE"/>
    <w:rsid w:val="00A20EEA"/>
    <w:rsid w:val="00A644EF"/>
    <w:rsid w:val="00B1321B"/>
    <w:rsid w:val="00B301F9"/>
    <w:rsid w:val="00B96944"/>
    <w:rsid w:val="00C746F5"/>
    <w:rsid w:val="00D220FA"/>
    <w:rsid w:val="00D6041C"/>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262A6"/>
  <w15:docId w15:val="{6BC7A497-9593-5E4A-BFDB-CE6014088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19"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28</Pages>
  <Words>7725</Words>
  <Characters>44033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51655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2025-05-27T18:07:00Z</dcterms:created>
  <dcterms:modified xsi:type="dcterms:W3CDTF">2025-05-27T18:37:00Z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